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7BFCC" w14:textId="77777777" w:rsidR="000F7306" w:rsidRDefault="000F7306" w:rsidP="0009128D">
      <w:pPr>
        <w:autoSpaceDE w:val="0"/>
        <w:autoSpaceDN w:val="0"/>
        <w:adjustRightInd w:val="0"/>
        <w:spacing w:after="0" w:line="240" w:lineRule="auto"/>
        <w:jc w:val="both"/>
        <w:rPr>
          <w:rFonts w:ascii="Helvetica Light" w:hAnsi="Helvetica Light" w:cs="Times New Roman"/>
          <w:color w:val="000000"/>
        </w:rPr>
      </w:pPr>
    </w:p>
    <w:p w14:paraId="175A61BD" w14:textId="7887DD5F" w:rsidR="0009128D" w:rsidRDefault="0009128D" w:rsidP="000F7306">
      <w:pPr>
        <w:jc w:val="both"/>
        <w:rPr>
          <w:rFonts w:ascii="Helvetica Light" w:hAnsi="Helvetica Light" w:cs="Times New Roman"/>
          <w:b/>
          <w:bCs/>
          <w:color w:val="000000"/>
          <w:sz w:val="24"/>
          <w:szCs w:val="24"/>
        </w:rPr>
      </w:pPr>
      <w:bookmarkStart w:id="0" w:name="_Hlk42436616"/>
      <w:r w:rsidRPr="00AA0EA4">
        <w:rPr>
          <w:rFonts w:ascii="Helvetica Light" w:hAnsi="Helvetica Light" w:cs="Times New Roman"/>
          <w:b/>
          <w:bCs/>
          <w:color w:val="000000"/>
          <w:sz w:val="24"/>
          <w:szCs w:val="24"/>
        </w:rPr>
        <w:t>Indicazioni per la compilazione della scheda Verifica delle regole del Protocollo di regolamentazione</w:t>
      </w:r>
    </w:p>
    <w:p w14:paraId="0F447F20" w14:textId="77777777" w:rsidR="000E728C" w:rsidRPr="00AA0EA4" w:rsidRDefault="000E728C" w:rsidP="000F7306">
      <w:pPr>
        <w:jc w:val="both"/>
        <w:rPr>
          <w:rFonts w:ascii="Helvetica Light" w:hAnsi="Helvetica Light" w:cs="Times New Roman"/>
          <w:b/>
          <w:bCs/>
          <w:color w:val="000000"/>
          <w:sz w:val="24"/>
          <w:szCs w:val="24"/>
        </w:rPr>
      </w:pPr>
      <w:bookmarkStart w:id="1" w:name="_GoBack"/>
      <w:bookmarkEnd w:id="1"/>
    </w:p>
    <w:p w14:paraId="01644D08" w14:textId="77777777" w:rsidR="0009128D" w:rsidRPr="00E97A2A" w:rsidRDefault="0009128D" w:rsidP="0009128D">
      <w:pPr>
        <w:rPr>
          <w:rFonts w:ascii="Helvetica Light" w:hAnsi="Helvetica Light" w:cs="Times New Roman"/>
          <w:color w:val="000000"/>
        </w:rPr>
      </w:pPr>
      <w:r w:rsidRPr="00E97A2A">
        <w:rPr>
          <w:rFonts w:ascii="Helvetica Light" w:hAnsi="Helvetica Light" w:cs="Times New Roman"/>
          <w:color w:val="000000"/>
        </w:rPr>
        <w:t xml:space="preserve">Le azioni indicate si intendono confermate quando il corrispondente </w:t>
      </w:r>
      <w:r w:rsidRPr="00E97A2A">
        <w:rPr>
          <w:rFonts w:ascii="Helvetica Light" w:hAnsi="Helvetica Light" w:cs="Times New Roman"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7A2A">
        <w:rPr>
          <w:rFonts w:ascii="Helvetica Light" w:hAnsi="Helvetica Light" w:cs="Times New Roman"/>
          <w:color w:val="000000"/>
        </w:rPr>
        <w:instrText xml:space="preserve"> FORMCHECKBOX </w:instrText>
      </w:r>
      <w:r w:rsidR="000E728C">
        <w:rPr>
          <w:rFonts w:ascii="Helvetica Light" w:hAnsi="Helvetica Light" w:cs="Times New Roman"/>
          <w:color w:val="000000"/>
        </w:rPr>
      </w:r>
      <w:r w:rsidR="000E728C">
        <w:rPr>
          <w:rFonts w:ascii="Helvetica Light" w:hAnsi="Helvetica Light" w:cs="Times New Roman"/>
          <w:color w:val="000000"/>
        </w:rPr>
        <w:fldChar w:fldCharType="separate"/>
      </w:r>
      <w:r w:rsidRPr="00E97A2A">
        <w:rPr>
          <w:rFonts w:ascii="Helvetica Light" w:hAnsi="Helvetica Light" w:cs="Times New Roman"/>
          <w:color w:val="000000"/>
        </w:rPr>
        <w:fldChar w:fldCharType="end"/>
      </w:r>
      <w:r w:rsidRPr="00E97A2A">
        <w:rPr>
          <w:rFonts w:ascii="Helvetica Light" w:hAnsi="Helvetica Light" w:cs="Times New Roman"/>
          <w:color w:val="000000"/>
        </w:rPr>
        <w:t xml:space="preserve"> è barrato; diversamente si intende che l’azienda non ha attivato/previsto l’azione in oggetto.</w:t>
      </w:r>
    </w:p>
    <w:p w14:paraId="7FEBD650" w14:textId="77777777" w:rsidR="0009128D" w:rsidRPr="00E97A2A" w:rsidRDefault="0009128D" w:rsidP="0009128D">
      <w:pPr>
        <w:spacing w:after="0"/>
        <w:rPr>
          <w:rFonts w:ascii="Helvetica Light" w:hAnsi="Helvetica Light" w:cs="Times New Roman"/>
          <w:color w:val="000000"/>
        </w:rPr>
      </w:pPr>
      <w:r w:rsidRPr="00E97A2A">
        <w:rPr>
          <w:rFonts w:ascii="Helvetica Light" w:hAnsi="Helvetica Light" w:cs="Times New Roman"/>
          <w:color w:val="000000"/>
        </w:rPr>
        <w:t>Nella colonna “Non applicabile” appore una “X” quando non ricorre il caso specifico, ad esempio nel caso in cui:</w:t>
      </w:r>
    </w:p>
    <w:p w14:paraId="1589B3ED" w14:textId="77777777" w:rsidR="0009128D" w:rsidRPr="00E97A2A" w:rsidRDefault="0009128D" w:rsidP="0009128D">
      <w:pPr>
        <w:pStyle w:val="Paragrafoelenco"/>
        <w:numPr>
          <w:ilvl w:val="0"/>
          <w:numId w:val="2"/>
        </w:numPr>
        <w:rPr>
          <w:rFonts w:ascii="Helvetica Light" w:hAnsi="Helvetica Light" w:cs="Times New Roman"/>
          <w:color w:val="000000"/>
        </w:rPr>
      </w:pPr>
      <w:r w:rsidRPr="00E97A2A">
        <w:rPr>
          <w:rFonts w:ascii="Helvetica Light" w:hAnsi="Helvetica Light" w:cs="Times New Roman"/>
          <w:color w:val="000000"/>
        </w:rPr>
        <w:t xml:space="preserve">ci si avvale di fornitori esterni che non accedono in azienda (rivendita di frutta che si approvvigiona all’orto mercato), </w:t>
      </w:r>
    </w:p>
    <w:p w14:paraId="5EC849A9" w14:textId="77777777" w:rsidR="0009128D" w:rsidRPr="00E97A2A" w:rsidRDefault="0009128D" w:rsidP="0009128D">
      <w:pPr>
        <w:pStyle w:val="Paragrafoelenco"/>
        <w:numPr>
          <w:ilvl w:val="0"/>
          <w:numId w:val="2"/>
        </w:numPr>
        <w:rPr>
          <w:rFonts w:ascii="Helvetica Light" w:hAnsi="Helvetica Light" w:cs="Times New Roman"/>
          <w:color w:val="000000"/>
        </w:rPr>
      </w:pPr>
      <w:r w:rsidRPr="00E97A2A">
        <w:rPr>
          <w:rFonts w:ascii="Helvetica Light" w:hAnsi="Helvetica Light" w:cs="Times New Roman"/>
          <w:color w:val="000000"/>
        </w:rPr>
        <w:t xml:space="preserve">la sorveglianza sanitaria non è obbligatoria ai sensi dell’art. 21, </w:t>
      </w:r>
      <w:proofErr w:type="spellStart"/>
      <w:r w:rsidRPr="00E97A2A">
        <w:rPr>
          <w:rFonts w:ascii="Helvetica Light" w:hAnsi="Helvetica Light" w:cs="Times New Roman"/>
          <w:color w:val="000000"/>
        </w:rPr>
        <w:t>D.Lgs</w:t>
      </w:r>
      <w:proofErr w:type="spellEnd"/>
      <w:r w:rsidRPr="00E97A2A">
        <w:rPr>
          <w:rFonts w:ascii="Helvetica Light" w:hAnsi="Helvetica Light" w:cs="Times New Roman"/>
          <w:color w:val="000000"/>
        </w:rPr>
        <w:t xml:space="preserve"> 81/2008. </w:t>
      </w:r>
    </w:p>
    <w:p w14:paraId="44BECBEF" w14:textId="77777777" w:rsidR="0009128D" w:rsidRPr="00E97A2A" w:rsidRDefault="0009128D" w:rsidP="0009128D">
      <w:pPr>
        <w:rPr>
          <w:rFonts w:ascii="Helvetica Light" w:hAnsi="Helvetica Light" w:cs="Times New Roman"/>
          <w:color w:val="000000"/>
        </w:rPr>
      </w:pPr>
      <w:r w:rsidRPr="00E97A2A">
        <w:rPr>
          <w:rFonts w:ascii="Helvetica Light" w:hAnsi="Helvetica Light" w:cs="Times New Roman"/>
          <w:color w:val="000000"/>
        </w:rPr>
        <w:t>Nella colonna “Note” riportare:</w:t>
      </w:r>
    </w:p>
    <w:p w14:paraId="66A26D1C" w14:textId="77777777" w:rsidR="0009128D" w:rsidRPr="00E97A2A" w:rsidRDefault="0009128D" w:rsidP="0009128D">
      <w:pPr>
        <w:pStyle w:val="Paragrafoelenco"/>
        <w:numPr>
          <w:ilvl w:val="0"/>
          <w:numId w:val="2"/>
        </w:numPr>
        <w:jc w:val="both"/>
        <w:rPr>
          <w:rFonts w:ascii="Helvetica Light" w:hAnsi="Helvetica Light" w:cs="Times New Roman"/>
          <w:color w:val="000000"/>
        </w:rPr>
      </w:pPr>
      <w:r w:rsidRPr="00E97A2A">
        <w:rPr>
          <w:rFonts w:ascii="Helvetica Light" w:hAnsi="Helvetica Light" w:cs="Times New Roman"/>
          <w:color w:val="000000"/>
        </w:rPr>
        <w:t>solo sintetiche informazioni aggiuntive. Ad esempio, l’azienda, in ottemperanza alle indicazioni del Ministero della Salute secondo le modalità ritenute più opportune, specifica il tipo d’interventi particolari/periodici di pulizia realizzati ricorrendo agli ammortizzatori sociali (anche in deroga);</w:t>
      </w:r>
    </w:p>
    <w:p w14:paraId="0040AA7C" w14:textId="77777777" w:rsidR="0009128D" w:rsidRPr="00E97A2A" w:rsidRDefault="0009128D" w:rsidP="0009128D">
      <w:pPr>
        <w:pStyle w:val="Paragrafoelenco"/>
        <w:numPr>
          <w:ilvl w:val="0"/>
          <w:numId w:val="2"/>
        </w:numPr>
        <w:spacing w:before="40" w:after="40"/>
        <w:jc w:val="both"/>
        <w:rPr>
          <w:rFonts w:ascii="Helvetica Light" w:hAnsi="Helvetica Light" w:cs="Times New Roman"/>
          <w:color w:val="000000"/>
        </w:rPr>
      </w:pPr>
      <w:r w:rsidRPr="00E97A2A">
        <w:rPr>
          <w:rFonts w:ascii="Helvetica Light" w:hAnsi="Helvetica Light" w:cs="Times New Roman"/>
          <w:color w:val="000000"/>
        </w:rPr>
        <w:t>“non previsto” quando le indicazioni anticontagio non richiedono modifiche organizzative o strutturali. Ad esempio, l’azienda non ha redatto un piano di turnazione dei dipendenti dedicati alla produzione per diminuire al massimo i contatti perché ogni dipendente si trova ad operare in un’area vasta e non ha occasione di interferire con gli altri lavoratori.</w:t>
      </w:r>
    </w:p>
    <w:bookmarkEnd w:id="0"/>
    <w:p w14:paraId="4BD90C52" w14:textId="77777777" w:rsidR="0009128D" w:rsidRDefault="0009128D" w:rsidP="0009128D">
      <w:pPr>
        <w:ind w:left="360"/>
      </w:pPr>
    </w:p>
    <w:p w14:paraId="60BA853F" w14:textId="188DB7A2" w:rsidR="00365205" w:rsidRDefault="00365205"/>
    <w:p w14:paraId="0FCA6FF0" w14:textId="6434F27F" w:rsidR="004F74BB" w:rsidRDefault="004F74BB">
      <w:r>
        <w:br w:type="page"/>
      </w:r>
    </w:p>
    <w:p w14:paraId="5E47E7B3" w14:textId="268FB606" w:rsidR="004F74BB" w:rsidRPr="004F74BB" w:rsidRDefault="004F74BB">
      <w:pPr>
        <w:rPr>
          <w:b/>
          <w:bCs/>
          <w:sz w:val="24"/>
          <w:szCs w:val="24"/>
        </w:rPr>
      </w:pPr>
      <w:r w:rsidRPr="004F74BB">
        <w:rPr>
          <w:b/>
          <w:bCs/>
          <w:sz w:val="24"/>
          <w:szCs w:val="24"/>
        </w:rPr>
        <w:lastRenderedPageBreak/>
        <w:t>APPENDICE</w:t>
      </w:r>
    </w:p>
    <w:p w14:paraId="5DDAB915" w14:textId="48CC54B2" w:rsidR="004F74BB" w:rsidRDefault="004F74BB"/>
    <w:p w14:paraId="07304D40" w14:textId="77777777" w:rsidR="004F74BB" w:rsidRDefault="004F74BB" w:rsidP="004F74BB">
      <w:pPr>
        <w:rPr>
          <w:b/>
          <w:bCs/>
        </w:rPr>
      </w:pPr>
      <w:r>
        <w:rPr>
          <w:b/>
          <w:bCs/>
        </w:rPr>
        <w:t xml:space="preserve">(*) Circolare Ministero della Salute – 22 maggio 2020 n. 17644  </w:t>
      </w:r>
    </w:p>
    <w:p w14:paraId="63105016" w14:textId="77777777" w:rsidR="004F74BB" w:rsidRDefault="004F74BB" w:rsidP="004F7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Indicazioni per l’attuazione di misure contenitive del contagio da SARS-CoV-2 attraverso</w:t>
      </w:r>
    </w:p>
    <w:p w14:paraId="03DD52E8" w14:textId="77777777" w:rsidR="004F74BB" w:rsidRDefault="004F74BB" w:rsidP="004F74B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procedure di sanificazione di strutture non sanitarie (superfici, ambienti interni) e</w:t>
      </w:r>
    </w:p>
    <w:p w14:paraId="5CC24BDF" w14:textId="77777777" w:rsidR="004F74BB" w:rsidRDefault="004F74BB" w:rsidP="004F74BB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abbigliamento.</w:t>
      </w:r>
    </w:p>
    <w:p w14:paraId="24E58FB1" w14:textId="77777777" w:rsidR="004F74BB" w:rsidRDefault="004F74BB" w:rsidP="004F74BB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hyperlink r:id="rId5" w:history="1">
        <w:r>
          <w:rPr>
            <w:rStyle w:val="Collegamentoipertestuale"/>
          </w:rPr>
          <w:t>http://www.trovanorme.salute.gov.it/norme/renderNormsanPdf?anno=2020&amp;codLeg=74133&amp;parte=1%20&amp;serie=null</w:t>
        </w:r>
      </w:hyperlink>
    </w:p>
    <w:p w14:paraId="15C63F70" w14:textId="77777777" w:rsidR="004F74BB" w:rsidRDefault="004F74BB" w:rsidP="004F74BB">
      <w:pPr>
        <w:rPr>
          <w:b/>
          <w:bCs/>
        </w:rPr>
      </w:pPr>
    </w:p>
    <w:p w14:paraId="717C5FC3" w14:textId="77777777" w:rsidR="004F74BB" w:rsidRDefault="004F74BB" w:rsidP="004F74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Altre pubblicazioni di riferimento</w:t>
      </w:r>
    </w:p>
    <w:p w14:paraId="4B729EE5" w14:textId="77777777" w:rsidR="004F74BB" w:rsidRPr="002543B2" w:rsidRDefault="004F74BB" w:rsidP="004F74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7469621" w14:textId="77777777" w:rsidR="004F74BB" w:rsidRPr="002543B2" w:rsidRDefault="004F74BB" w:rsidP="004F74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  <w:bCs/>
        </w:rPr>
        <w:t>ISS. Rapporto COVID-19 n. 5/2020 indoor “Indicazioni ad interim per la prevenzione e gestione degli ambienti indoor in relazione alla trasmissione dell’infezione da virus SARS-CoV-2”. 23 marzo 2020</w:t>
      </w:r>
    </w:p>
    <w:p w14:paraId="39FA28C9" w14:textId="77777777" w:rsidR="004F74BB" w:rsidRPr="002543B2" w:rsidRDefault="004F74BB" w:rsidP="004F74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CFB74B8" w14:textId="77777777" w:rsidR="004F74BB" w:rsidRPr="002543B2" w:rsidRDefault="004F74BB" w:rsidP="004F74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</w:rPr>
        <w:t>ANMDO. Linea guida sulla valutazione del processo di sanificazione ambientale nelle strutture ospedaliere e territoriali per il controllo delle infezioni correlate all’assistenza (ICA). 2019</w:t>
      </w:r>
    </w:p>
    <w:p w14:paraId="65B99E8B" w14:textId="7246BCE6" w:rsidR="004F74BB" w:rsidRDefault="004F74BB" w:rsidP="004F74BB">
      <w:pPr>
        <w:rPr>
          <w:b/>
          <w:bCs/>
        </w:rPr>
      </w:pPr>
    </w:p>
    <w:p w14:paraId="1EC9BC27" w14:textId="3C43F850" w:rsidR="004F74BB" w:rsidRDefault="004F74BB" w:rsidP="004F74BB">
      <w:pPr>
        <w:rPr>
          <w:b/>
          <w:bCs/>
        </w:rPr>
      </w:pPr>
    </w:p>
    <w:p w14:paraId="1699EE3B" w14:textId="2A5506C1" w:rsidR="004F74BB" w:rsidRDefault="004F74BB" w:rsidP="004F74BB">
      <w:pPr>
        <w:rPr>
          <w:b/>
          <w:bCs/>
        </w:rPr>
      </w:pPr>
    </w:p>
    <w:p w14:paraId="1AF0F23B" w14:textId="28898C4A" w:rsidR="004F74BB" w:rsidRDefault="004F74BB" w:rsidP="004F74BB">
      <w:pPr>
        <w:rPr>
          <w:b/>
          <w:bCs/>
        </w:rPr>
      </w:pPr>
    </w:p>
    <w:p w14:paraId="3FD7B7F8" w14:textId="51B96AB4" w:rsidR="004F74BB" w:rsidRDefault="004F74BB" w:rsidP="004F74BB">
      <w:pPr>
        <w:rPr>
          <w:b/>
          <w:bCs/>
        </w:rPr>
      </w:pPr>
    </w:p>
    <w:p w14:paraId="513F4B6A" w14:textId="043CFB0D" w:rsidR="004F74BB" w:rsidRDefault="004F74BB" w:rsidP="004F74BB">
      <w:pPr>
        <w:rPr>
          <w:b/>
          <w:bCs/>
        </w:rPr>
      </w:pPr>
    </w:p>
    <w:p w14:paraId="3277D786" w14:textId="3A93F331" w:rsidR="004F74BB" w:rsidRDefault="004F74BB" w:rsidP="004F74BB">
      <w:pPr>
        <w:rPr>
          <w:b/>
          <w:bCs/>
        </w:rPr>
      </w:pPr>
    </w:p>
    <w:p w14:paraId="58E56B87" w14:textId="745AF3E1" w:rsidR="004F74BB" w:rsidRDefault="004F74BB" w:rsidP="004F74BB">
      <w:pPr>
        <w:rPr>
          <w:b/>
          <w:bCs/>
        </w:rPr>
      </w:pPr>
    </w:p>
    <w:p w14:paraId="604AF6C6" w14:textId="36E9E378" w:rsidR="004F74BB" w:rsidRDefault="004F74BB" w:rsidP="004F74BB">
      <w:pPr>
        <w:rPr>
          <w:b/>
          <w:bCs/>
        </w:rPr>
      </w:pPr>
    </w:p>
    <w:p w14:paraId="45C84EC1" w14:textId="30822BFD" w:rsidR="004F74BB" w:rsidRDefault="004F74BB" w:rsidP="004F74BB">
      <w:pPr>
        <w:rPr>
          <w:b/>
          <w:bCs/>
        </w:rPr>
      </w:pPr>
    </w:p>
    <w:p w14:paraId="0CDE55A4" w14:textId="4888280E" w:rsidR="004F74BB" w:rsidRDefault="004F74BB" w:rsidP="004F74BB">
      <w:pPr>
        <w:rPr>
          <w:b/>
          <w:bCs/>
        </w:rPr>
      </w:pPr>
    </w:p>
    <w:p w14:paraId="2A7572C2" w14:textId="76C055DD" w:rsidR="004F74BB" w:rsidRDefault="004F74BB" w:rsidP="004F74BB">
      <w:pPr>
        <w:rPr>
          <w:b/>
          <w:bCs/>
        </w:rPr>
      </w:pPr>
    </w:p>
    <w:p w14:paraId="4BAAF3E0" w14:textId="785AA420" w:rsidR="004F74BB" w:rsidRDefault="004F74BB" w:rsidP="004F74BB">
      <w:pPr>
        <w:rPr>
          <w:b/>
          <w:bCs/>
        </w:rPr>
      </w:pPr>
    </w:p>
    <w:p w14:paraId="485751F7" w14:textId="58F051C3" w:rsidR="004F74BB" w:rsidRDefault="004F74BB" w:rsidP="004F74BB">
      <w:pPr>
        <w:rPr>
          <w:b/>
          <w:bCs/>
        </w:rPr>
      </w:pPr>
    </w:p>
    <w:p w14:paraId="167D884C" w14:textId="68E29902" w:rsidR="004F74BB" w:rsidRDefault="004F74BB" w:rsidP="004F74BB">
      <w:pPr>
        <w:rPr>
          <w:b/>
          <w:bCs/>
        </w:rPr>
      </w:pPr>
    </w:p>
    <w:p w14:paraId="5814D3EB" w14:textId="3212B151" w:rsidR="004F74BB" w:rsidRDefault="004F74BB" w:rsidP="004F74BB">
      <w:pPr>
        <w:rPr>
          <w:b/>
          <w:bCs/>
        </w:rPr>
      </w:pPr>
    </w:p>
    <w:p w14:paraId="12294D31" w14:textId="5582FF55" w:rsidR="004F74BB" w:rsidRDefault="004F74BB">
      <w:pPr>
        <w:rPr>
          <w:b/>
          <w:bCs/>
        </w:rPr>
      </w:pPr>
      <w:r>
        <w:rPr>
          <w:b/>
          <w:bCs/>
        </w:rPr>
        <w:br w:type="page"/>
      </w:r>
    </w:p>
    <w:p w14:paraId="1D8A3201" w14:textId="24FC3991" w:rsidR="004F74BB" w:rsidRDefault="004F74BB" w:rsidP="004F74BB">
      <w:pPr>
        <w:rPr>
          <w:b/>
          <w:bCs/>
        </w:rPr>
      </w:pPr>
      <w:r w:rsidRPr="00C3135F">
        <w:rPr>
          <w:b/>
          <w:bCs/>
          <w:noProof/>
          <w:lang w:eastAsia="it-IT"/>
        </w:rPr>
        <w:drawing>
          <wp:inline distT="0" distB="0" distL="0" distR="0" wp14:anchorId="0AA198FD" wp14:editId="7C5D5E6B">
            <wp:extent cx="6120130" cy="84131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2B8A" w14:textId="1A69BFA6" w:rsidR="004F74BB" w:rsidRDefault="004F74BB" w:rsidP="004F74BB">
      <w:pPr>
        <w:rPr>
          <w:b/>
          <w:bCs/>
        </w:rPr>
      </w:pPr>
    </w:p>
    <w:p w14:paraId="65EA1589" w14:textId="6049233D" w:rsidR="004F74BB" w:rsidRDefault="004F74BB" w:rsidP="004F74BB">
      <w:pPr>
        <w:rPr>
          <w:b/>
          <w:bCs/>
        </w:rPr>
      </w:pPr>
    </w:p>
    <w:p w14:paraId="70D9C40F" w14:textId="5C40C765" w:rsidR="004F74BB" w:rsidRDefault="004F74BB" w:rsidP="004F74BB">
      <w:pPr>
        <w:rPr>
          <w:b/>
          <w:bCs/>
        </w:rPr>
      </w:pPr>
      <w:r w:rsidRPr="00C3135F">
        <w:rPr>
          <w:b/>
          <w:bCs/>
          <w:noProof/>
          <w:lang w:eastAsia="it-IT"/>
        </w:rPr>
        <w:drawing>
          <wp:inline distT="0" distB="0" distL="0" distR="0" wp14:anchorId="4A5DBBDD" wp14:editId="6F7AFCCA">
            <wp:extent cx="6120130" cy="82784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565E" w14:textId="764AFFCA" w:rsidR="004F74BB" w:rsidRDefault="004F74BB" w:rsidP="004F74BB">
      <w:pPr>
        <w:rPr>
          <w:b/>
          <w:bCs/>
        </w:rPr>
      </w:pPr>
    </w:p>
    <w:p w14:paraId="3643CD63" w14:textId="622B231C" w:rsidR="004F74BB" w:rsidRDefault="004F74BB" w:rsidP="004F74BB">
      <w:pPr>
        <w:rPr>
          <w:b/>
          <w:bCs/>
        </w:rPr>
      </w:pPr>
    </w:p>
    <w:p w14:paraId="2BEEC257" w14:textId="4B6B4C39" w:rsidR="004F74BB" w:rsidRDefault="004F74BB" w:rsidP="004F74BB">
      <w:pPr>
        <w:rPr>
          <w:b/>
          <w:bCs/>
        </w:rPr>
      </w:pPr>
      <w:r w:rsidRPr="00C3135F">
        <w:rPr>
          <w:b/>
          <w:bCs/>
          <w:noProof/>
          <w:lang w:eastAsia="it-IT"/>
        </w:rPr>
        <w:drawing>
          <wp:inline distT="0" distB="0" distL="0" distR="0" wp14:anchorId="3D82EB5E" wp14:editId="7114F0EB">
            <wp:extent cx="6120130" cy="85401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136D" w14:textId="78C5E9C3" w:rsidR="004F74BB" w:rsidRDefault="004F74BB" w:rsidP="004F74BB">
      <w:pPr>
        <w:rPr>
          <w:b/>
          <w:bCs/>
        </w:rPr>
      </w:pPr>
    </w:p>
    <w:p w14:paraId="5BA5C371" w14:textId="0147B71F" w:rsidR="004F74BB" w:rsidRDefault="004F74BB" w:rsidP="004F74BB">
      <w:pPr>
        <w:rPr>
          <w:b/>
          <w:bCs/>
        </w:rPr>
      </w:pPr>
    </w:p>
    <w:p w14:paraId="3748D769" w14:textId="71861204" w:rsidR="004F74BB" w:rsidRDefault="004F74BB" w:rsidP="004F74BB">
      <w:pPr>
        <w:rPr>
          <w:b/>
          <w:bCs/>
        </w:rPr>
      </w:pPr>
      <w:r w:rsidRPr="003741E3">
        <w:rPr>
          <w:b/>
          <w:bCs/>
          <w:noProof/>
          <w:lang w:eastAsia="it-IT"/>
        </w:rPr>
        <w:drawing>
          <wp:inline distT="0" distB="0" distL="0" distR="0" wp14:anchorId="48590E00" wp14:editId="1B7AE3DA">
            <wp:extent cx="3124200" cy="417388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00" cy="41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0BAE" w14:textId="7CDCDCCB" w:rsidR="004F74BB" w:rsidRDefault="004F74BB" w:rsidP="004F74BB">
      <w:pPr>
        <w:rPr>
          <w:b/>
          <w:bCs/>
        </w:rPr>
      </w:pPr>
      <w:r w:rsidRPr="003741E3">
        <w:rPr>
          <w:b/>
          <w:bCs/>
          <w:noProof/>
          <w:lang w:eastAsia="it-IT"/>
        </w:rPr>
        <w:drawing>
          <wp:inline distT="0" distB="0" distL="0" distR="0" wp14:anchorId="400F407F" wp14:editId="242A1F94">
            <wp:extent cx="3397250" cy="39179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1A50" w14:textId="77777777" w:rsidR="004F74BB" w:rsidRDefault="004F74BB"/>
    <w:sectPr w:rsidR="004F74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393F4D"/>
    <w:multiLevelType w:val="hybridMultilevel"/>
    <w:tmpl w:val="C05038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EB3E1E"/>
    <w:multiLevelType w:val="hybridMultilevel"/>
    <w:tmpl w:val="2158B4AE"/>
    <w:lvl w:ilvl="0" w:tplc="662E5A26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D"/>
    <w:rsid w:val="0009128D"/>
    <w:rsid w:val="000E728C"/>
    <w:rsid w:val="000F7306"/>
    <w:rsid w:val="00171144"/>
    <w:rsid w:val="00193072"/>
    <w:rsid w:val="00322912"/>
    <w:rsid w:val="0034066B"/>
    <w:rsid w:val="00365205"/>
    <w:rsid w:val="004F74BB"/>
    <w:rsid w:val="005F7031"/>
    <w:rsid w:val="006E563C"/>
    <w:rsid w:val="006F1776"/>
    <w:rsid w:val="00733888"/>
    <w:rsid w:val="0079309E"/>
    <w:rsid w:val="00817563"/>
    <w:rsid w:val="00975D4D"/>
    <w:rsid w:val="009B7BA3"/>
    <w:rsid w:val="009F2416"/>
    <w:rsid w:val="00AA0EA4"/>
    <w:rsid w:val="00B92029"/>
    <w:rsid w:val="00D619F1"/>
    <w:rsid w:val="00EF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41693"/>
  <w15:chartTrackingRefBased/>
  <w15:docId w15:val="{3BFC4A40-9037-405D-BA53-8FDF17E31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12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9128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3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309E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F74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www.trovanorme.salute.gov.it/norme/renderNormsanPdf?anno=2020&amp;codLeg=74133&amp;parte=1%20&amp;serie=null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Agostina Panzeri</dc:creator>
  <cp:keywords/>
  <dc:description/>
  <cp:lastModifiedBy>Agostina Panzeri</cp:lastModifiedBy>
  <cp:revision>10</cp:revision>
  <dcterms:created xsi:type="dcterms:W3CDTF">2020-06-07T12:54:00Z</dcterms:created>
  <dcterms:modified xsi:type="dcterms:W3CDTF">2020-06-11T09:53:00Z</dcterms:modified>
</cp:coreProperties>
</file>